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108C6A45"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384115">
        <w:rPr>
          <w:rFonts w:hint="eastAsia"/>
          <w:color w:val="000000" w:themeColor="text1"/>
          <w:szCs w:val="24"/>
        </w:rPr>
        <w:t xml:space="preserve"> </w:t>
      </w:r>
      <w:r w:rsidR="00E12E55">
        <w:rPr>
          <w:rFonts w:hint="eastAsia"/>
          <w:color w:val="000000" w:themeColor="text1"/>
          <w:szCs w:val="24"/>
        </w:rPr>
        <w:t>ソロモン</w:t>
      </w:r>
      <w:r w:rsidR="00384115">
        <w:rPr>
          <w:rFonts w:hint="eastAsia"/>
          <w:color w:val="000000" w:themeColor="text1"/>
          <w:szCs w:val="24"/>
        </w:rPr>
        <w:t>諸島</w:t>
      </w:r>
      <w:r w:rsidR="00762E08">
        <w:rPr>
          <w:rFonts w:hint="eastAsia"/>
          <w:color w:val="000000" w:themeColor="text1"/>
          <w:szCs w:val="24"/>
        </w:rPr>
        <w:t>現地調査派遣（第</w:t>
      </w:r>
      <w:r w:rsidR="002B0BA5">
        <w:rPr>
          <w:rFonts w:hint="eastAsia"/>
          <w:color w:val="000000" w:themeColor="text1"/>
          <w:szCs w:val="24"/>
        </w:rPr>
        <w:t>２</w:t>
      </w:r>
      <w:r w:rsidR="00762E08">
        <w:rPr>
          <w:rFonts w:hint="eastAsia"/>
          <w:color w:val="000000" w:themeColor="text1"/>
          <w:szCs w:val="24"/>
        </w:rPr>
        <w:t>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8"/>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8"/>
        <w:spacing w:line="400" w:lineRule="exact"/>
        <w:ind w:leftChars="0" w:left="720"/>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海外に残存する日本人戦没者の遺骨に関する情報を収集し、現地調査を実施する。調査団</w:t>
      </w:r>
      <w:r w:rsidRPr="00C81AF7">
        <w:rPr>
          <w:rFonts w:hint="eastAsia"/>
          <w:color w:val="000000" w:themeColor="text1"/>
          <w:sz w:val="24"/>
          <w:szCs w:val="24"/>
        </w:rPr>
        <w:t xml:space="preserve"> </w:t>
      </w:r>
      <w:r w:rsidRPr="00C81AF7">
        <w:rPr>
          <w:color w:val="000000" w:themeColor="text1"/>
          <w:sz w:val="24"/>
          <w:szCs w:val="24"/>
        </w:rPr>
        <w:t xml:space="preserve">   </w:t>
      </w:r>
      <w:r w:rsidR="00BE2B43" w:rsidRPr="00C81AF7">
        <w:rPr>
          <w:rFonts w:hint="eastAsia"/>
          <w:color w:val="000000" w:themeColor="text1"/>
          <w:sz w:val="24"/>
          <w:szCs w:val="24"/>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944EDC">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944EDC">
        <w:trPr>
          <w:trHeight w:val="834"/>
          <w:jc w:val="center"/>
        </w:trPr>
        <w:tc>
          <w:tcPr>
            <w:tcW w:w="3539" w:type="dxa"/>
            <w:vAlign w:val="center"/>
          </w:tcPr>
          <w:p w14:paraId="1BBD3AD7" w14:textId="5CC0A74E"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r w:rsidR="00384115">
              <w:rPr>
                <w:rFonts w:hint="eastAsia"/>
                <w:color w:val="000000" w:themeColor="text1"/>
                <w:sz w:val="24"/>
                <w:szCs w:val="24"/>
              </w:rPr>
              <w:t xml:space="preserve"> </w:t>
            </w:r>
            <w:r w:rsidR="000D3E25">
              <w:rPr>
                <w:rFonts w:hint="eastAsia"/>
                <w:color w:val="000000" w:themeColor="text1"/>
                <w:sz w:val="24"/>
                <w:szCs w:val="24"/>
              </w:rPr>
              <w:t>ソロモン</w:t>
            </w:r>
            <w:r w:rsidR="00384115">
              <w:rPr>
                <w:rFonts w:hint="eastAsia"/>
                <w:color w:val="000000" w:themeColor="text1"/>
                <w:sz w:val="24"/>
                <w:szCs w:val="24"/>
              </w:rPr>
              <w:t>諸島</w:t>
            </w:r>
            <w:r w:rsidRPr="00BF6727">
              <w:rPr>
                <w:rFonts w:hint="eastAsia"/>
                <w:color w:val="000000" w:themeColor="text1"/>
                <w:sz w:val="24"/>
                <w:szCs w:val="24"/>
              </w:rPr>
              <w:t>現地調査派遣（第</w:t>
            </w:r>
            <w:r w:rsidR="002B0BA5">
              <w:rPr>
                <w:rFonts w:hint="eastAsia"/>
                <w:color w:val="000000" w:themeColor="text1"/>
                <w:sz w:val="24"/>
                <w:szCs w:val="24"/>
              </w:rPr>
              <w:t>２</w:t>
            </w:r>
            <w:r w:rsidRPr="00BF6727">
              <w:rPr>
                <w:rFonts w:hint="eastAsia"/>
                <w:color w:val="000000" w:themeColor="text1"/>
                <w:sz w:val="24"/>
                <w:szCs w:val="24"/>
              </w:rPr>
              <w:t>次）</w:t>
            </w:r>
          </w:p>
        </w:tc>
        <w:tc>
          <w:tcPr>
            <w:tcW w:w="5245" w:type="dxa"/>
            <w:shd w:val="clear" w:color="auto" w:fill="auto"/>
            <w:vAlign w:val="center"/>
          </w:tcPr>
          <w:p w14:paraId="5583D007" w14:textId="28E07D4E"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2B0BA5">
              <w:rPr>
                <w:rFonts w:hint="eastAsia"/>
                <w:color w:val="000000" w:themeColor="text1"/>
                <w:sz w:val="24"/>
                <w:szCs w:val="24"/>
              </w:rPr>
              <w:t>９</w:t>
            </w:r>
            <w:r w:rsidR="008F170F" w:rsidRPr="00BF6727">
              <w:rPr>
                <w:rFonts w:hint="eastAsia"/>
                <w:color w:val="000000" w:themeColor="text1"/>
                <w:sz w:val="24"/>
                <w:szCs w:val="24"/>
              </w:rPr>
              <w:t>月</w:t>
            </w:r>
            <w:r w:rsidR="002B0BA5">
              <w:rPr>
                <w:rFonts w:hint="eastAsia"/>
                <w:color w:val="000000" w:themeColor="text1"/>
                <w:sz w:val="24"/>
                <w:szCs w:val="24"/>
              </w:rPr>
              <w:t>２</w:t>
            </w:r>
            <w:r w:rsidR="000D3E25">
              <w:rPr>
                <w:rFonts w:hint="eastAsia"/>
                <w:color w:val="000000" w:themeColor="text1"/>
                <w:sz w:val="24"/>
                <w:szCs w:val="24"/>
              </w:rPr>
              <w:t>３</w:t>
            </w:r>
            <w:r w:rsidR="00770B20" w:rsidRPr="00BF6727">
              <w:rPr>
                <w:rFonts w:hint="eastAsia"/>
                <w:color w:val="000000" w:themeColor="text1"/>
                <w:sz w:val="24"/>
                <w:szCs w:val="24"/>
              </w:rPr>
              <w:t>日（</w:t>
            </w:r>
            <w:r w:rsidR="000D3E25">
              <w:rPr>
                <w:rFonts w:hint="eastAsia"/>
                <w:color w:val="000000" w:themeColor="text1"/>
                <w:sz w:val="24"/>
                <w:szCs w:val="24"/>
              </w:rPr>
              <w:t>火</w:t>
            </w:r>
            <w:r w:rsidR="008F170F" w:rsidRPr="00BF6727">
              <w:rPr>
                <w:rFonts w:hint="eastAsia"/>
                <w:color w:val="000000" w:themeColor="text1"/>
                <w:sz w:val="24"/>
                <w:szCs w:val="24"/>
              </w:rPr>
              <w:t>）</w:t>
            </w:r>
          </w:p>
          <w:p w14:paraId="4587169B" w14:textId="1B04BBA1"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2B0BA5">
              <w:rPr>
                <w:rFonts w:hint="eastAsia"/>
                <w:color w:val="000000" w:themeColor="text1"/>
                <w:sz w:val="24"/>
                <w:szCs w:val="24"/>
              </w:rPr>
              <w:t>１０</w:t>
            </w:r>
            <w:r w:rsidR="00770B20" w:rsidRPr="00BF6727">
              <w:rPr>
                <w:rFonts w:hint="eastAsia"/>
                <w:color w:val="000000" w:themeColor="text1"/>
                <w:sz w:val="24"/>
                <w:szCs w:val="24"/>
              </w:rPr>
              <w:t>月</w:t>
            </w:r>
            <w:r w:rsidR="000D3E25">
              <w:rPr>
                <w:rFonts w:hint="eastAsia"/>
                <w:color w:val="000000" w:themeColor="text1"/>
                <w:sz w:val="24"/>
                <w:szCs w:val="24"/>
              </w:rPr>
              <w:t>１４</w:t>
            </w:r>
            <w:r w:rsidR="00770B20" w:rsidRPr="00BF6727">
              <w:rPr>
                <w:rFonts w:hint="eastAsia"/>
                <w:color w:val="000000" w:themeColor="text1"/>
                <w:sz w:val="24"/>
                <w:szCs w:val="24"/>
              </w:rPr>
              <w:t>日（</w:t>
            </w:r>
            <w:r w:rsidR="000D3E25">
              <w:rPr>
                <w:rFonts w:hint="eastAsia"/>
                <w:color w:val="000000" w:themeColor="text1"/>
                <w:sz w:val="24"/>
                <w:szCs w:val="24"/>
              </w:rPr>
              <w:t>火</w:t>
            </w:r>
            <w:r w:rsidRPr="00BF6727">
              <w:rPr>
                <w:rFonts w:hint="eastAsia"/>
                <w:color w:val="000000" w:themeColor="text1"/>
                <w:sz w:val="24"/>
                <w:szCs w:val="24"/>
              </w:rPr>
              <w:t>）</w:t>
            </w:r>
          </w:p>
        </w:tc>
        <w:tc>
          <w:tcPr>
            <w:tcW w:w="850" w:type="dxa"/>
            <w:shd w:val="clear" w:color="auto" w:fill="auto"/>
            <w:vAlign w:val="center"/>
          </w:tcPr>
          <w:p w14:paraId="6A7B239B" w14:textId="54800F8A" w:rsidR="008F170F" w:rsidRPr="00BF6727" w:rsidRDefault="00105150" w:rsidP="003652F5">
            <w:pPr>
              <w:spacing w:line="400" w:lineRule="exact"/>
              <w:rPr>
                <w:color w:val="000000" w:themeColor="text1"/>
                <w:sz w:val="24"/>
                <w:szCs w:val="24"/>
              </w:rPr>
            </w:pPr>
            <w:r>
              <w:rPr>
                <w:rFonts w:hint="eastAsia"/>
                <w:color w:val="000000" w:themeColor="text1"/>
                <w:sz w:val="24"/>
                <w:szCs w:val="24"/>
              </w:rPr>
              <w:t>５</w:t>
            </w:r>
            <w:r w:rsidR="003652F5" w:rsidRPr="00BF6727">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7DBAA819" w:rsidR="00D73DD9" w:rsidRPr="00384115" w:rsidRDefault="005D59ED" w:rsidP="00384115">
      <w:pPr>
        <w:spacing w:line="400" w:lineRule="exact"/>
        <w:ind w:left="440" w:hangingChars="200" w:hanging="440"/>
        <w:jc w:val="center"/>
        <w:rPr>
          <w:color w:val="000000" w:themeColor="text1"/>
          <w:sz w:val="24"/>
          <w:szCs w:val="24"/>
        </w:rPr>
      </w:pPr>
      <w:r w:rsidRPr="00BF6727">
        <w:rPr>
          <w:rFonts w:hint="eastAsia"/>
          <w:b/>
          <w:bCs/>
          <w:color w:val="000000" w:themeColor="text1"/>
          <w:sz w:val="24"/>
          <w:szCs w:val="24"/>
          <w:u w:val="single"/>
        </w:rPr>
        <w:t xml:space="preserve">指定為替レート　</w:t>
      </w:r>
      <w:r w:rsidR="000D3E25" w:rsidRPr="000D3E25">
        <w:rPr>
          <w:b/>
          <w:bCs/>
          <w:color w:val="000000" w:themeColor="text1"/>
          <w:sz w:val="24"/>
          <w:szCs w:val="24"/>
          <w:u w:val="single"/>
        </w:rPr>
        <w:t>145.54</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/USD</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A2A7CF3" w14:textId="4C44FABA" w:rsidR="0021718B" w:rsidRDefault="00966127" w:rsidP="00966127">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朝食については早朝出発の場合は、料金を見積りに計上せず手配しないことを見積書の備考欄等に明記すること。また、夕食についても手配が困難な場合は同様に明記すること。</w:t>
      </w:r>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現地において予定している手配業者名を見積書に必ず記載すること。</w:t>
      </w:r>
    </w:p>
    <w:p w14:paraId="07C2C52B" w14:textId="26C9673A"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w:t>
      </w:r>
      <w:r w:rsidR="00DE26D4">
        <w:rPr>
          <w:rFonts w:hint="eastAsia"/>
          <w:color w:val="000000" w:themeColor="text1"/>
          <w:sz w:val="24"/>
          <w:szCs w:val="24"/>
        </w:rPr>
        <w:t>資料</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10E5993" w14:textId="0EEC250D" w:rsidR="00DE26D4" w:rsidRDefault="00DE26D4" w:rsidP="00DE26D4">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190154A1" w14:textId="6C00925B" w:rsidR="00DE26D4" w:rsidRPr="00DE26D4" w:rsidRDefault="00966127" w:rsidP="00DE26D4">
      <w:pPr>
        <w:autoSpaceDE w:val="0"/>
        <w:autoSpaceDN w:val="0"/>
        <w:spacing w:afterLines="50" w:after="193" w:line="400" w:lineRule="exact"/>
        <w:ind w:firstLineChars="200" w:firstLine="438"/>
        <w:jc w:val="left"/>
        <w:rPr>
          <w:color w:val="000000" w:themeColor="text1"/>
          <w:sz w:val="24"/>
          <w:szCs w:val="22"/>
          <w:u w:val="wave"/>
        </w:rPr>
      </w:pPr>
      <w:r w:rsidRPr="00DE26D4">
        <w:rPr>
          <w:rFonts w:ascii="Segoe UI Emoji" w:eastAsia="Segoe UI Emoji" w:hAnsi="Segoe UI Emoji" w:cs="Segoe UI Emoji" w:hint="eastAsia"/>
          <w:color w:val="000000" w:themeColor="text1"/>
          <w:sz w:val="24"/>
          <w:szCs w:val="22"/>
          <w:u w:val="wave"/>
        </w:rPr>
        <w:t>■</w:t>
      </w:r>
      <w:r w:rsidR="00DE26D4" w:rsidRPr="00DE26D4">
        <w:rPr>
          <w:rFonts w:ascii="ＭＳ 明朝" w:hAnsi="ＭＳ 明朝" w:cs="ＭＳ 明朝" w:hint="eastAsia"/>
          <w:color w:val="000000" w:themeColor="text1"/>
          <w:sz w:val="24"/>
          <w:szCs w:val="22"/>
          <w:u w:val="wave"/>
        </w:rPr>
        <w:t xml:space="preserve">　</w:t>
      </w:r>
      <w:r w:rsidR="00242AC2" w:rsidRPr="00242AC2">
        <w:rPr>
          <w:rFonts w:ascii="ＭＳ 明朝" w:hAnsi="ＭＳ 明朝" w:cs="ＭＳ 明朝" w:hint="eastAsia"/>
          <w:color w:val="000000" w:themeColor="text1"/>
          <w:sz w:val="24"/>
          <w:szCs w:val="22"/>
          <w:u w:val="wave"/>
        </w:rPr>
        <w:t>航空券</w:t>
      </w:r>
      <w:r w:rsidR="00603E30">
        <w:rPr>
          <w:rFonts w:ascii="ＭＳ 明朝" w:hAnsi="ＭＳ 明朝" w:cs="ＭＳ 明朝" w:hint="eastAsia"/>
          <w:color w:val="000000" w:themeColor="text1"/>
          <w:sz w:val="24"/>
          <w:szCs w:val="22"/>
          <w:u w:val="wave"/>
        </w:rPr>
        <w:t>、</w:t>
      </w:r>
      <w:r w:rsidR="00242AC2" w:rsidRPr="00242AC2">
        <w:rPr>
          <w:rFonts w:ascii="ＭＳ 明朝" w:hAnsi="ＭＳ 明朝" w:cs="ＭＳ 明朝" w:hint="eastAsia"/>
          <w:color w:val="000000" w:themeColor="text1"/>
          <w:sz w:val="24"/>
          <w:szCs w:val="22"/>
          <w:u w:val="wave"/>
        </w:rPr>
        <w:t>宿泊料</w:t>
      </w:r>
      <w:r w:rsidR="00603E30">
        <w:rPr>
          <w:rFonts w:ascii="ＭＳ 明朝" w:hAnsi="ＭＳ 明朝" w:cs="ＭＳ 明朝" w:hint="eastAsia"/>
          <w:color w:val="000000" w:themeColor="text1"/>
          <w:sz w:val="24"/>
          <w:szCs w:val="22"/>
          <w:u w:val="wave"/>
        </w:rPr>
        <w:t>、車両等</w:t>
      </w:r>
      <w:r w:rsidR="00242AC2" w:rsidRPr="00242AC2">
        <w:rPr>
          <w:rFonts w:ascii="ＭＳ 明朝" w:hAnsi="ＭＳ 明朝" w:cs="ＭＳ 明朝" w:hint="eastAsia"/>
          <w:color w:val="000000" w:themeColor="text1"/>
          <w:sz w:val="24"/>
          <w:szCs w:val="22"/>
          <w:u w:val="wave"/>
        </w:rPr>
        <w:t>のキャンセル料</w:t>
      </w:r>
      <w:r w:rsidR="00603E30">
        <w:rPr>
          <w:rFonts w:ascii="ＭＳ 明朝" w:hAnsi="ＭＳ 明朝" w:cs="ＭＳ 明朝" w:hint="eastAsia"/>
          <w:color w:val="000000" w:themeColor="text1"/>
          <w:sz w:val="24"/>
          <w:szCs w:val="22"/>
          <w:u w:val="wave"/>
        </w:rPr>
        <w:t>等</w:t>
      </w:r>
      <w:r w:rsidR="00242AC2" w:rsidRPr="00242AC2">
        <w:rPr>
          <w:rFonts w:ascii="ＭＳ 明朝" w:hAnsi="ＭＳ 明朝" w:cs="ＭＳ 明朝" w:hint="eastAsia"/>
          <w:color w:val="000000" w:themeColor="text1"/>
          <w:sz w:val="24"/>
          <w:szCs w:val="22"/>
          <w:u w:val="wave"/>
        </w:rPr>
        <w:t>が発生する場合</w:t>
      </w:r>
      <w:r w:rsidR="00603E30">
        <w:rPr>
          <w:rFonts w:ascii="ＭＳ 明朝" w:hAnsi="ＭＳ 明朝" w:cs="ＭＳ 明朝" w:hint="eastAsia"/>
          <w:color w:val="000000" w:themeColor="text1"/>
          <w:sz w:val="24"/>
          <w:szCs w:val="22"/>
          <w:u w:val="wave"/>
        </w:rPr>
        <w:t>の参考</w:t>
      </w:r>
      <w:r w:rsidR="00242AC2" w:rsidRPr="00242AC2">
        <w:rPr>
          <w:rFonts w:ascii="ＭＳ 明朝" w:hAnsi="ＭＳ 明朝" w:cs="ＭＳ 明朝" w:hint="eastAsia"/>
          <w:color w:val="000000" w:themeColor="text1"/>
          <w:sz w:val="24"/>
          <w:szCs w:val="22"/>
          <w:u w:val="wave"/>
        </w:rPr>
        <w:t>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footerReference w:type="default" r:id="rId8"/>
      <w:headerReference w:type="first" r:id="rId9"/>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495236"/>
      <w:docPartObj>
        <w:docPartGallery w:val="Page Numbers (Bottom of Page)"/>
        <w:docPartUnique/>
      </w:docPartObj>
    </w:sdtPr>
    <w:sdtEndPr/>
    <w:sdtContent>
      <w:p w14:paraId="3182F249" w14:textId="3E670B42" w:rsidR="009F3CA9" w:rsidRDefault="009F3CA9">
        <w:pPr>
          <w:pStyle w:val="a4"/>
          <w:jc w:val="center"/>
        </w:pPr>
        <w:r>
          <w:fldChar w:fldCharType="begin"/>
        </w:r>
        <w:r>
          <w:instrText>PAGE   \* MERGEFORMAT</w:instrText>
        </w:r>
        <w:r>
          <w:fldChar w:fldCharType="separate"/>
        </w:r>
        <w:r>
          <w:rPr>
            <w:lang w:val="ja-JP"/>
          </w:rPr>
          <w:t>2</w:t>
        </w:r>
        <w:r>
          <w:fldChar w:fldCharType="end"/>
        </w:r>
      </w:p>
    </w:sdtContent>
  </w:sdt>
  <w:p w14:paraId="215CEEBF" w14:textId="77777777" w:rsidR="009F3CA9" w:rsidRDefault="009F3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3E25"/>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2AC2"/>
    <w:rsid w:val="00243214"/>
    <w:rsid w:val="00244CBC"/>
    <w:rsid w:val="00245551"/>
    <w:rsid w:val="00245E09"/>
    <w:rsid w:val="00253C8B"/>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2F67"/>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3E30"/>
    <w:rsid w:val="006040E3"/>
    <w:rsid w:val="0060532B"/>
    <w:rsid w:val="00606A82"/>
    <w:rsid w:val="00607D09"/>
    <w:rsid w:val="00617CFC"/>
    <w:rsid w:val="006200BF"/>
    <w:rsid w:val="00621624"/>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01AF"/>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3CA9"/>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67CB8"/>
    <w:rsid w:val="00B86485"/>
    <w:rsid w:val="00B867DC"/>
    <w:rsid w:val="00B86DA9"/>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26D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2E55"/>
    <w:rsid w:val="00E1591A"/>
    <w:rsid w:val="00E2535C"/>
    <w:rsid w:val="00E25363"/>
    <w:rsid w:val="00E30B59"/>
    <w:rsid w:val="00E314A9"/>
    <w:rsid w:val="00E346A5"/>
    <w:rsid w:val="00E35899"/>
    <w:rsid w:val="00E37A34"/>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link w:val="a5"/>
    <w:uiPriority w:val="99"/>
    <w:rsid w:val="00B407BC"/>
    <w:pPr>
      <w:tabs>
        <w:tab w:val="center" w:pos="4252"/>
        <w:tab w:val="right" w:pos="8504"/>
      </w:tabs>
      <w:snapToGrid w:val="0"/>
    </w:pPr>
  </w:style>
  <w:style w:type="paragraph" w:styleId="a6">
    <w:name w:val="Balloon Text"/>
    <w:basedOn w:val="a"/>
    <w:semiHidden/>
    <w:rsid w:val="006B7348"/>
    <w:rPr>
      <w:rFonts w:ascii="Arial" w:eastAsia="ＭＳ ゴシック" w:hAnsi="Arial"/>
      <w:sz w:val="18"/>
      <w:szCs w:val="18"/>
    </w:rPr>
  </w:style>
  <w:style w:type="table" w:styleId="a7">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40FA"/>
    <w:pPr>
      <w:ind w:leftChars="400" w:left="840"/>
    </w:pPr>
  </w:style>
  <w:style w:type="paragraph" w:styleId="a9">
    <w:name w:val="No Spacing"/>
    <w:uiPriority w:val="1"/>
    <w:qFormat/>
    <w:rsid w:val="00352631"/>
    <w:pPr>
      <w:widowControl w:val="0"/>
      <w:jc w:val="both"/>
    </w:pPr>
    <w:rPr>
      <w:kern w:val="2"/>
      <w:sz w:val="28"/>
      <w:szCs w:val="28"/>
    </w:rPr>
  </w:style>
  <w:style w:type="character" w:customStyle="1" w:styleId="a5">
    <w:name w:val="フッター (文字)"/>
    <w:basedOn w:val="a0"/>
    <w:link w:val="a4"/>
    <w:uiPriority w:val="99"/>
    <w:rsid w:val="009F3CA9"/>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2364</Words>
  <Characters>175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近藤久雅</cp:lastModifiedBy>
  <cp:revision>56</cp:revision>
  <cp:lastPrinted>2025-07-09T01:03:00Z</cp:lastPrinted>
  <dcterms:created xsi:type="dcterms:W3CDTF">2024-05-02T05:12:00Z</dcterms:created>
  <dcterms:modified xsi:type="dcterms:W3CDTF">2025-07-09T05:09:00Z</dcterms:modified>
</cp:coreProperties>
</file>